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05-0175/1302/2024</w:t>
      </w: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УИД 86MS0013-01-2024-000920-37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07 февраля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3 статьи 19.24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Анатольевича, </w:t>
      </w:r>
      <w:r>
        <w:rPr>
          <w:rStyle w:val="cat-ExternalSystemDefinedgrp-22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7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2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проживающего по адресу: </w:t>
      </w:r>
      <w:r>
        <w:rPr>
          <w:rStyle w:val="cat-UserDefinedgrp-2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8rplc-1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4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3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А.А.,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лицом, в отношении которого решением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городского суда Ханты-Мансийского автономного округа – Югры от 30 ноября 2021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(с учетом решения Сургутского районного суда Ханты-Мансийского автономного округа – Югры от 04 октября 2023 г.)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 административный надзор сроком на три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шесть месяцев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административные ограничения: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запрет посещения кафе, баров и иных питейных заведений; запрет пребывания вне места жительства после определенного судом времени, запрет на выезд за пределы субъекта Российской Федерации по избранному месту жительства; обязательная явка четыре раза в месяц в орган внутренних дел для регистрации; запрет на посещение мест проведения массовых мероприятий и участие в них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будучи привлеченным к административной ответственности по ч.1 ст.19.24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ноября </w:t>
      </w:r>
      <w:r>
        <w:rPr>
          <w:rFonts w:ascii="Times New Roman" w:eastAsia="Times New Roman" w:hAnsi="Times New Roman" w:cs="Times New Roman"/>
          <w:sz w:val="26"/>
          <w:szCs w:val="26"/>
        </w:rPr>
        <w:t>2023 года в 18 час. 01 мин. не явился на регистрацию без уважительных причин,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ч.3 ст.19.24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в совершении административного правонарушения признал в полном объеме, в содеянном раскаялся. Просил назначить ему за данное правонарушение наказание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Кроме признательных показаний вина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подтверждается материалами дела: протоколом 86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313950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04.12.2023 </w:t>
      </w:r>
      <w:r>
        <w:rPr>
          <w:rFonts w:ascii="Times New Roman" w:eastAsia="Times New Roman" w:hAnsi="Times New Roman" w:cs="Times New Roman"/>
          <w:sz w:val="26"/>
          <w:szCs w:val="26"/>
        </w:rPr>
        <w:t>года об административном правонарушении, рапортом сотрудника полиции, составленным по обстоятельствам события административного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ями </w:t>
      </w:r>
      <w:r>
        <w:rPr>
          <w:rFonts w:ascii="Times New Roman" w:eastAsia="Times New Roman" w:hAnsi="Times New Roman" w:cs="Times New Roman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городского суда Ханты-Мансийского автономного округа – Югры от 30 ноября 2021 г., решения Сургутского районного суда Ханты-Мансийского автономного округа – Югры от 04 октября 2023 г.)</w:t>
      </w:r>
      <w:r>
        <w:rPr>
          <w:rFonts w:ascii="Times New Roman" w:eastAsia="Times New Roman" w:hAnsi="Times New Roman" w:cs="Times New Roman"/>
          <w:sz w:val="26"/>
          <w:szCs w:val="26"/>
        </w:rPr>
        <w:t>, копией заключения о заведении дела административного надзора,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сведениями о привлечении 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 ответственности по ч. 2, 3 ст. 19.24 КоАП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сведениями из информационной базы данных органов полиции, копией паспорта на имя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ч.3 ст.19.24 Кодекса РФ об административных правонарушениях – повторное в течение одного года несоблюдение лицом, в отношении которого установлен административный надзор, административных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однородного административного правонарушения.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административный арест на срок от десяти до пятнадцати суток (ч. 3 ст. 19.24 Кодекса Российской Федерации об административных правонарушения).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 назначении административного наказания учитывает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применяет административное наказание - обязательные работы.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Каких-либо сведений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Административное наказание в виде обязательных работ, предусмотрено санкцией ч.3 ст.19.24 КоАП РФ назначено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 3 ст. 19.24 Кодекса Российской Федерации об административных правонарушениях, и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ему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обязательных работ на срок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тридцать</w:t>
      </w:r>
      <w:r>
        <w:rPr>
          <w:rFonts w:ascii="Times New Roman" w:eastAsia="Times New Roman" w:hAnsi="Times New Roman" w:cs="Times New Roman"/>
          <w:sz w:val="26"/>
          <w:szCs w:val="26"/>
        </w:rPr>
        <w:t>) часов.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2rplc-9">
    <w:name w:val="cat-ExternalSystemDefined grp-22 rplc-9"/>
    <w:basedOn w:val="DefaultParagraphFont"/>
  </w:style>
  <w:style w:type="character" w:customStyle="1" w:styleId="cat-PassportDatagrp-17rplc-10">
    <w:name w:val="cat-PassportData grp-17 rplc-10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PassportDatagrp-18rplc-17">
    <w:name w:val="cat-PassportData grp-18 rplc-17"/>
    <w:basedOn w:val="DefaultParagraphFont"/>
  </w:style>
  <w:style w:type="character" w:customStyle="1" w:styleId="cat-ExternalSystemDefinedgrp-24rplc-18">
    <w:name w:val="cat-ExternalSystemDefined grp-24 rplc-18"/>
    <w:basedOn w:val="DefaultParagraphFont"/>
  </w:style>
  <w:style w:type="character" w:customStyle="1" w:styleId="cat-ExternalSystemDefinedgrp-25rplc-19">
    <w:name w:val="cat-ExternalSystemDefined grp-25 rplc-19"/>
    <w:basedOn w:val="DefaultParagraphFont"/>
  </w:style>
  <w:style w:type="character" w:customStyle="1" w:styleId="cat-ExternalSystemDefinedgrp-23rplc-20">
    <w:name w:val="cat-ExternalSystemDefined grp-23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/" TargetMode="External" /><Relationship Id="rId5" Type="http://schemas.openxmlformats.org/officeDocument/2006/relationships/hyperlink" Target="garantf1://10008000.31401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